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8AA5E" w14:textId="77777777" w:rsidR="005D6714" w:rsidRPr="005D6714" w:rsidRDefault="005D6714" w:rsidP="005D6714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Times New Roman" w:eastAsia="Times New Roman" w:hAnsi="Times New Roman" w:cs="Times New Roman"/>
          <w:sz w:val="36"/>
          <w:szCs w:val="36"/>
          <w:lang w:eastAsia="ru-RU"/>
        </w:rPr>
        <w:t>﻿</w:t>
      </w:r>
    </w:p>
    <w:p w14:paraId="0A8CADDF" w14:textId="77777777" w:rsidR="005D6714" w:rsidRPr="005D6714" w:rsidRDefault="005D6714" w:rsidP="005D6714">
      <w:pPr>
        <w:spacing w:after="135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671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5D6714">
        <w:rPr>
          <w:rFonts w:ascii="Courier New" w:eastAsia="Times New Roman" w:hAnsi="Courier New" w:cs="Courier New"/>
          <w:b/>
          <w:bCs/>
          <w:sz w:val="44"/>
          <w:szCs w:val="44"/>
          <w:lang w:eastAsia="ru-RU"/>
        </w:rPr>
        <w:t>СВОД ПРАВИЛ</w:t>
      </w:r>
    </w:p>
    <w:p w14:paraId="51F6EFB2" w14:textId="77777777" w:rsidR="005D6714" w:rsidRPr="005D6714" w:rsidRDefault="005D6714" w:rsidP="005D6714">
      <w:pPr>
        <w:spacing w:after="135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6714">
        <w:rPr>
          <w:rFonts w:ascii="Courier New" w:eastAsia="Times New Roman" w:hAnsi="Courier New" w:cs="Courier New"/>
          <w:b/>
          <w:bCs/>
          <w:sz w:val="44"/>
          <w:szCs w:val="44"/>
          <w:lang w:eastAsia="ru-RU"/>
        </w:rPr>
        <w:t>СП 6.13130.2013 </w:t>
      </w:r>
      <w:r w:rsidRPr="005D6714">
        <w:rPr>
          <w:rFonts w:ascii="Times New Roman" w:eastAsia="Times New Roman" w:hAnsi="Times New Roman" w:cs="Times New Roman"/>
          <w:sz w:val="24"/>
          <w:szCs w:val="24"/>
          <w:lang w:eastAsia="ru-RU"/>
        </w:rPr>
        <w:t>﻿</w:t>
      </w:r>
    </w:p>
    <w:p w14:paraId="09565589" w14:textId="77777777" w:rsidR="005D6714" w:rsidRPr="005D6714" w:rsidRDefault="005D6714" w:rsidP="005D6714">
      <w:pPr>
        <w:spacing w:after="135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6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01C2264" w14:textId="77777777" w:rsidR="005D6714" w:rsidRPr="005D6714" w:rsidRDefault="005D6714" w:rsidP="005D6714">
      <w:pPr>
        <w:spacing w:after="135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6714">
        <w:rPr>
          <w:rFonts w:ascii="Courier New" w:eastAsia="Times New Roman" w:hAnsi="Courier New" w:cs="Courier New"/>
          <w:b/>
          <w:bCs/>
          <w:sz w:val="44"/>
          <w:szCs w:val="44"/>
          <w:lang w:eastAsia="ru-RU"/>
        </w:rPr>
        <w:t>СИСТЕМЫ ПРОТИВОПОЖАРНОЙ ЗАЩИТЫ</w:t>
      </w:r>
    </w:p>
    <w:p w14:paraId="626023F4" w14:textId="77777777" w:rsidR="005D6714" w:rsidRPr="005D6714" w:rsidRDefault="005D6714" w:rsidP="005D6714">
      <w:pPr>
        <w:spacing w:after="135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6714">
        <w:rPr>
          <w:rFonts w:ascii="Courier New" w:eastAsia="Times New Roman" w:hAnsi="Courier New" w:cs="Courier New"/>
          <w:b/>
          <w:bCs/>
          <w:sz w:val="44"/>
          <w:szCs w:val="44"/>
          <w:lang w:eastAsia="ru-RU"/>
        </w:rPr>
        <w:br/>
      </w:r>
    </w:p>
    <w:p w14:paraId="1D502860" w14:textId="77777777" w:rsidR="005D6714" w:rsidRPr="005D6714" w:rsidRDefault="005D6714" w:rsidP="005D6714">
      <w:pPr>
        <w:spacing w:after="135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6714">
        <w:rPr>
          <w:rFonts w:ascii="Courier New" w:eastAsia="Times New Roman" w:hAnsi="Courier New" w:cs="Courier New"/>
          <w:b/>
          <w:bCs/>
          <w:sz w:val="44"/>
          <w:szCs w:val="44"/>
          <w:lang w:eastAsia="ru-RU"/>
        </w:rPr>
        <w:t>ЭЛЕКТРООБОРУДОВАНИЕ. ТРЕБОВАНИЯ ПОЖАРНОЙ БЕЗОПАСНОСТИ</w:t>
      </w:r>
    </w:p>
    <w:p w14:paraId="2729B176" w14:textId="32459344" w:rsidR="005D6714" w:rsidRPr="005D6714" w:rsidRDefault="005D6714" w:rsidP="005D6714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9B365" w14:textId="77777777" w:rsidR="005D6714" w:rsidRPr="005D6714" w:rsidRDefault="005D6714" w:rsidP="005D6714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b/>
          <w:bCs/>
          <w:color w:val="3B3B3B"/>
          <w:sz w:val="36"/>
          <w:szCs w:val="36"/>
          <w:lang w:eastAsia="ru-RU"/>
        </w:rPr>
        <w:t>Дата введения: 2013-02-25</w:t>
      </w:r>
    </w:p>
    <w:p w14:paraId="0EB3CDA9" w14:textId="77777777" w:rsidR="005D6714" w:rsidRPr="005D6714" w:rsidRDefault="005D6714" w:rsidP="005D6714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b/>
          <w:bCs/>
          <w:color w:val="333333"/>
          <w:sz w:val="36"/>
          <w:szCs w:val="36"/>
          <w:lang w:eastAsia="ru-RU"/>
        </w:rPr>
        <w:br/>
      </w:r>
    </w:p>
    <w:p w14:paraId="22E58711" w14:textId="77777777" w:rsidR="005D6714" w:rsidRPr="005D6714" w:rsidRDefault="005D6714" w:rsidP="005D6714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b/>
          <w:bCs/>
          <w:color w:val="333333"/>
          <w:sz w:val="36"/>
          <w:szCs w:val="36"/>
          <w:lang w:eastAsia="ru-RU"/>
        </w:rPr>
        <w:t> Предисловие</w:t>
      </w:r>
    </w:p>
    <w:p w14:paraId="5A7B5344" w14:textId="77777777" w:rsidR="005D6714" w:rsidRPr="005D6714" w:rsidRDefault="005D6714" w:rsidP="005D6714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b/>
          <w:bCs/>
          <w:color w:val="333333"/>
          <w:sz w:val="36"/>
          <w:szCs w:val="36"/>
          <w:lang w:eastAsia="ru-RU"/>
        </w:rPr>
        <w:br/>
      </w:r>
    </w:p>
    <w:p w14:paraId="48364B78" w14:textId="77777777" w:rsidR="005D6714" w:rsidRPr="005D6714" w:rsidRDefault="005D6714" w:rsidP="005D67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color w:val="3B3B3B"/>
          <w:sz w:val="27"/>
          <w:szCs w:val="27"/>
          <w:lang w:eastAsia="ru-RU"/>
        </w:rPr>
        <w:t>Цели и принципы стандартизации в Российской Федерации установлены Федеральным законом от 27 декабря 2002 г. N 184-ФЗ "О техническом регулировании", а правила разработки - постановлением Правительства Российской Федерации от 19 ноября 2008 г. N 858 "О порядке разработки и утверждения сводов правил". </w:t>
      </w:r>
    </w:p>
    <w:p w14:paraId="65FA066B" w14:textId="77777777" w:rsidR="005D6714" w:rsidRPr="005D6714" w:rsidRDefault="005D6714" w:rsidP="005D67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color w:val="3B3B3B"/>
          <w:sz w:val="27"/>
          <w:szCs w:val="27"/>
          <w:lang w:eastAsia="ru-RU"/>
        </w:rPr>
        <w:t>Применение настоящего свода правил обеспечивает соблюдение требований к электрооборудованию систем противопожарной защиты зданий и сооружений, установленных Федеральным законом от 22 июля 2008 г. N 123-ФЗ "Технический регламент о требованиях пожарной безопасности".</w:t>
      </w:r>
    </w:p>
    <w:p w14:paraId="43D5302E" w14:textId="77777777" w:rsidR="005D6714" w:rsidRPr="005D6714" w:rsidRDefault="005D6714" w:rsidP="005D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63178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Сведения о своде правил</w:t>
      </w:r>
    </w:p>
    <w:p w14:paraId="56C4C3DA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>1 РАЗРАБОТАН И ВНЕСЕН Федеральным государственным бюджетным учреждением "Всероссийский ордена "Знак Почета" научно-исследовательский институт противопожарной обороны" (ФГБУ ВНИИПО МЧС России)</w:t>
      </w:r>
    </w:p>
    <w:p w14:paraId="559A5451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lastRenderedPageBreak/>
        <w:t>2 УТВЕРЖДЕН И ВВЕДЕН В ДЕЙСТВИЕ приказом Министерства Российской Федерации по делам гражданской обороны, чрезвычайным ситуациям и ликвидации последствий стихийных бедствий (МЧС России) от 21 февраля 2013 года N 115</w:t>
      </w:r>
    </w:p>
    <w:p w14:paraId="1CA18444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>3 ЗАРЕГИСТРИРОВАН Федеральным агентством по техническому регулированию и метрологии 17 апреля 2013 г.</w:t>
      </w:r>
    </w:p>
    <w:p w14:paraId="7B5BDA33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>4 ВЗАМЕН СП 6.13130.2009</w:t>
      </w:r>
    </w:p>
    <w:p w14:paraId="0DCECAE5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>Информация об изменениях к настоящему своду правил публикуется разработчиком в его официальных печатных изданиях и размещается в информационной системе общего пользования в электронно-цифровой форме. В случае пересмотра (замены) или отмены настоящего свода правил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 и уведомление размещаются также в информационной системе общего пользования - на официальном сайте национального органа Российской Федерации по стандартизации в сети Интернет.</w:t>
      </w:r>
    </w:p>
    <w:p w14:paraId="514A6A1D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Оглавление:</w:t>
      </w:r>
    </w:p>
    <w:tbl>
      <w:tblPr>
        <w:tblW w:w="108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5"/>
      </w:tblGrid>
      <w:tr w:rsidR="005D6714" w:rsidRPr="005D6714" w14:paraId="58476F1B" w14:textId="77777777" w:rsidTr="005D6714">
        <w:trPr>
          <w:tblHeader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ED5B9D8" w14:textId="77777777" w:rsidR="005D6714" w:rsidRPr="005D6714" w:rsidRDefault="005D6714" w:rsidP="005D67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714" w:rsidRPr="005D6714" w14:paraId="5127A047" w14:textId="77777777" w:rsidTr="005D6714">
        <w:tc>
          <w:tcPr>
            <w:tcW w:w="45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14:paraId="477E3E44" w14:textId="77777777" w:rsidR="005D6714" w:rsidRPr="005D6714" w:rsidRDefault="005D6714" w:rsidP="005D67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14">
              <w:rPr>
                <w:rFonts w:ascii="Courier New" w:eastAsia="Times New Roman" w:hAnsi="Courier New" w:cs="Courier New"/>
                <w:sz w:val="27"/>
                <w:szCs w:val="27"/>
                <w:lang w:eastAsia="ru-RU"/>
              </w:rPr>
              <w:t>1 Область применения</w:t>
            </w:r>
            <w:r w:rsidRPr="005D67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</w:r>
            <w:r w:rsidRPr="005D6714">
              <w:rPr>
                <w:rFonts w:ascii="Courier New" w:eastAsia="Times New Roman" w:hAnsi="Courier New" w:cs="Courier New"/>
                <w:sz w:val="27"/>
                <w:szCs w:val="27"/>
                <w:lang w:eastAsia="ru-RU"/>
              </w:rPr>
              <w:t>2 Нормативные ссылки</w:t>
            </w:r>
            <w:r w:rsidRPr="005D67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</w:r>
            <w:r w:rsidRPr="005D6714">
              <w:rPr>
                <w:rFonts w:ascii="Courier New" w:eastAsia="Times New Roman" w:hAnsi="Courier New" w:cs="Courier New"/>
                <w:sz w:val="27"/>
                <w:szCs w:val="27"/>
                <w:lang w:eastAsia="ru-RU"/>
              </w:rPr>
              <w:t>3 Термины и определения</w:t>
            </w:r>
            <w:r w:rsidRPr="005D67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</w:r>
            <w:r w:rsidRPr="005D6714">
              <w:rPr>
                <w:rFonts w:ascii="Courier New" w:eastAsia="Times New Roman" w:hAnsi="Courier New" w:cs="Courier New"/>
                <w:sz w:val="27"/>
                <w:szCs w:val="27"/>
                <w:lang w:eastAsia="ru-RU"/>
              </w:rPr>
              <w:t>4 Требования пожарной безопасности</w:t>
            </w:r>
          </w:p>
        </w:tc>
      </w:tr>
    </w:tbl>
    <w:p w14:paraId="783C9B02" w14:textId="738CC5BB" w:rsidR="005D6714" w:rsidRPr="005D6714" w:rsidRDefault="005D6714" w:rsidP="005D6714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b/>
          <w:bCs/>
          <w:sz w:val="54"/>
          <w:szCs w:val="54"/>
          <w:lang w:eastAsia="ru-RU"/>
        </w:rPr>
        <w:t>1 Область применения</w:t>
      </w:r>
    </w:p>
    <w:p w14:paraId="4813860D" w14:textId="2DF53828" w:rsidR="005D6714" w:rsidRPr="005D6714" w:rsidRDefault="005D6714" w:rsidP="005D6714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A70F9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>Настоящий свод правил применяется при проектировании и монтаже электрооборудования систем противопожарной защиты вновь строящихся и реконструируемых зданий и сооружений.</w:t>
      </w:r>
    </w:p>
    <w:p w14:paraId="1B9CC88A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68C625EE" w14:textId="77777777" w:rsidR="005D6714" w:rsidRPr="005D6714" w:rsidRDefault="005D6714" w:rsidP="005D6714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b/>
          <w:bCs/>
          <w:sz w:val="54"/>
          <w:szCs w:val="54"/>
          <w:lang w:eastAsia="ru-RU"/>
        </w:rPr>
        <w:t>2 Нормативные ссылки</w:t>
      </w:r>
      <w:r w:rsidRPr="005D6714">
        <w:rPr>
          <w:rFonts w:ascii="Times New Roman" w:eastAsia="Times New Roman" w:hAnsi="Times New Roman" w:cs="Times New Roman"/>
          <w:sz w:val="36"/>
          <w:szCs w:val="36"/>
          <w:lang w:eastAsia="ru-RU"/>
        </w:rPr>
        <w:t>﻿</w:t>
      </w:r>
    </w:p>
    <w:p w14:paraId="14AA0676" w14:textId="77777777" w:rsidR="005D6714" w:rsidRPr="005D6714" w:rsidRDefault="005D6714" w:rsidP="005D6714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69F07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В настоящем своде правил использованы нормативные ссылки на следующие стандарты:</w:t>
      </w:r>
    </w:p>
    <w:p w14:paraId="33CFB84B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>ГОСТ Р 53315-2009 Кабельные изделия. Требования пожарной безопасности</w:t>
      </w:r>
    </w:p>
    <w:p w14:paraId="42DDEC8A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>ГОСТ Р 53316-2009 Кабельные линии. Сохранение работоспособности в условиях пожара. Метод испытания</w:t>
      </w:r>
    </w:p>
    <w:p w14:paraId="56C8350F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59A872DD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>Примечание.</w:t>
      </w:r>
      <w:r w:rsidRPr="005D6714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При пользовании настоящим сводом правил целесообразно проверить действие ссылочных стандартов в информационной системе общего </w:t>
      </w: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lastRenderedPageBreak/>
        <w:t>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сводом правил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14:paraId="2E4B7023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bookmarkStart w:id="0" w:name="m003"/>
      <w:bookmarkEnd w:id="0"/>
    </w:p>
    <w:p w14:paraId="1F19BF1E" w14:textId="77777777" w:rsidR="005D6714" w:rsidRPr="005D6714" w:rsidRDefault="005D6714" w:rsidP="005D6714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b/>
          <w:bCs/>
          <w:sz w:val="54"/>
          <w:szCs w:val="54"/>
          <w:lang w:eastAsia="ru-RU"/>
        </w:rPr>
        <w:t>3 Термины и определения</w:t>
      </w:r>
      <w:r w:rsidRPr="005D6714">
        <w:rPr>
          <w:rFonts w:ascii="Times New Roman" w:eastAsia="Times New Roman" w:hAnsi="Times New Roman" w:cs="Times New Roman"/>
          <w:sz w:val="36"/>
          <w:szCs w:val="36"/>
          <w:lang w:eastAsia="ru-RU"/>
        </w:rPr>
        <w:t>﻿</w:t>
      </w:r>
    </w:p>
    <w:p w14:paraId="39C5918E" w14:textId="337819E5" w:rsidR="005D6714" w:rsidRPr="005D6714" w:rsidRDefault="005D6714" w:rsidP="005D6714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DBC24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>В настоящем своде правил применены следующие термины с соответствующими определениями:</w:t>
      </w:r>
    </w:p>
    <w:p w14:paraId="6BD79CD3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>3.1 электрооборудование систем противопожарной защиты: Совокупность электротехнических устройств, предназначенных для функционирования систем противопожарной защиты.</w:t>
      </w:r>
    </w:p>
    <w:p w14:paraId="49A82C49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>3.2 приемник электрической энергии (электроприемник): Аппарат, агрегат и др., предназначенные для преобразования электрической энергии в другой вид энергии.</w:t>
      </w:r>
    </w:p>
    <w:p w14:paraId="53B7BA12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bookmarkStart w:id="1" w:name="m004"/>
      <w:bookmarkEnd w:id="1"/>
    </w:p>
    <w:p w14:paraId="4A6A1E4E" w14:textId="77777777" w:rsidR="005D6714" w:rsidRPr="005D6714" w:rsidRDefault="005D6714" w:rsidP="005D6714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b/>
          <w:bCs/>
          <w:sz w:val="54"/>
          <w:szCs w:val="54"/>
          <w:lang w:eastAsia="ru-RU"/>
        </w:rPr>
        <w:t>4 Требования пожарной безопасности</w:t>
      </w:r>
    </w:p>
    <w:p w14:paraId="3CAC9A25" w14:textId="218624FC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br/>
        <w:t>4.1 Электроприемники систем противопожарной защиты (СПЗ) должны относиться к электроприемникам I категории надежности электроснабжения, за исключением электродвигателей компрессоров, дренажных насосов, насосов подкачки пенообразователя, которые относятся к III категории надежности электроснабжения.</w:t>
      </w:r>
    </w:p>
    <w:p w14:paraId="44A24B4B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212F4B86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>4.2 В зданиях, сооружениях (далее - здания), электроприемники которых относятся к III категории надежности электроснабжения, резервное питание электроприемников СПЗ должно осуществляться от независимого автономного источника питания.</w:t>
      </w:r>
    </w:p>
    <w:p w14:paraId="2E710DE6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422F0F90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4.3 Электроприемники I категории должны обеспечиваться электроэнергией от двух независимых взаимно резервирующих источников питания. К числу независимых источников питания относятся две секции или системы шин </w:t>
      </w: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lastRenderedPageBreak/>
        <w:t xml:space="preserve">одной или двух электростанций и подстанций </w:t>
      </w:r>
      <w:proofErr w:type="gramStart"/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>при одновременном соблюдении</w:t>
      </w:r>
      <w:proofErr w:type="gramEnd"/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следующих двух условий:</w:t>
      </w:r>
    </w:p>
    <w:p w14:paraId="2274ED71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>каждая из секций или систем шин, в свою очередь, имеет питание от независимого источника питания;</w:t>
      </w:r>
    </w:p>
    <w:p w14:paraId="7AC5D1A1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секции (системы) шин не связаны между собой или имеют связь, автоматически </w:t>
      </w:r>
      <w:proofErr w:type="spellStart"/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>отключающуюся</w:t>
      </w:r>
      <w:proofErr w:type="spellEnd"/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при нарушении нормальной работы одной из секций (систем) шин.</w:t>
      </w:r>
    </w:p>
    <w:p w14:paraId="1207F591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56647AB0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>4.4 Кабели и провода СПЗ, прокладываемые одиночно (расстояние между кабелями или проводами более 300 мм), должны иметь показатель пожарной опасности не ниже ПРГП 4 по ГОСТ Р 53315.</w:t>
      </w:r>
    </w:p>
    <w:p w14:paraId="67C3A8EC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583450A8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4.5 Кабели и провода СПЗ, прокладываемые при групповой прокладке (расстояние между кабелями менее 300 мм), должны иметь показатели пожарной опасности по нераспространению горения ПРГП 1, ПРГП 2, ПРГП 3 или ПРГП 4 (в зависимости от объема горючей нагрузки) и показатель </w:t>
      </w:r>
      <w:proofErr w:type="spellStart"/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>дымообразования</w:t>
      </w:r>
      <w:proofErr w:type="spellEnd"/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не ниже ПД 2 по ГОСТ Р 53315.</w:t>
      </w:r>
    </w:p>
    <w:p w14:paraId="6A071E96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2E2D4D5D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4.6 Кабельные линии и электропроводки СПЗ, прокладываемые </w:t>
      </w:r>
      <w:proofErr w:type="spellStart"/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>замоноличенно</w:t>
      </w:r>
      <w:proofErr w:type="spellEnd"/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, в пустотах строительных конструкций из негорючих материалов или в металлических трубах, обладающих </w:t>
      </w:r>
      <w:proofErr w:type="spellStart"/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>локализационной</w:t>
      </w:r>
      <w:proofErr w:type="spellEnd"/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способностью, допускается выполнять кабелями или проводами, к которым не предъявляются требования по нераспространению горения, при этом торцы каналов и труб, входящих в электрооборудование и соединительные коробки, должны быть герметично уплотнены негорючими материалами.</w:t>
      </w:r>
    </w:p>
    <w:p w14:paraId="1AFDBFB4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13B02AD8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>4.7 Электрические кабельные линии и электропроводки СПЗ должны выполняться кабелями и проводами с медными токопроводящими жилами.</w:t>
      </w:r>
    </w:p>
    <w:p w14:paraId="68685AC3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066ED0D2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>4.8 Кабельные линии и электропроводка систем противопожарной защиты, средств обеспечения деятельности подразделений пожарной охраны, систем обнаружения пожара, оповещения и управления эвакуацией людей при пожаре, аварийного освещения на путях эвакуации, аварийной вентиляции и противодымной защиты, автоматического пожаротушения, внутреннего противопожарного водопровода,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времени, необходимого для выполнения их функций и полной эвакуации людей в безопасную зону.</w:t>
      </w:r>
    </w:p>
    <w:p w14:paraId="644DC3EE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166271C8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lastRenderedPageBreak/>
        <w:t>4.9 Работоспособность кабельных линий и электропроводок СПЗ в условиях пожара обеспечивается выбором вида исполнения кабелей и проводов, согласно ГОСТ Р 53315, и способом их прокладки. Время работоспособности кабельных линий и электропроводок в условиях воздействия пожара определяется в соответствии с ГОСТ Р 53316.</w:t>
      </w:r>
    </w:p>
    <w:p w14:paraId="59B3C3D8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606D2C87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>4.10 Питание электроприемников СПЗ должно осуществляться от панели противопожарных устройств (панель ППУ), которая, в свою очередь, питается от вводной панели вводно-распределительного устройства (ВРУ) с устройством автоматического включения резерва (АВР) или от главного распределительного щита (ГРЩ) с устройством АВР.</w:t>
      </w:r>
    </w:p>
    <w:p w14:paraId="575228EF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>Панели ППУ и АВР должны иметь боковые стенки для противопожарной защиты установленной в них аппаратуры.</w:t>
      </w:r>
    </w:p>
    <w:p w14:paraId="05F93643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>Толщина стенок должна устанавливаться в конструкторской документации и технических условиях на панели конкретных типов.</w:t>
      </w:r>
    </w:p>
    <w:p w14:paraId="44A36F39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>Фасадная часть панели ППУ должна иметь отличительную окраску (красную).</w:t>
      </w:r>
    </w:p>
    <w:p w14:paraId="4CEEB11A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7C0D12A6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>4.11 Для электроприемников автоматических установок пожаротушения I категории надежности электроснабжения, имеющих автоматически включаемый технологический резерв (при наличии одного рабочего и одного резервного насоса), устройство АВР не требуется.</w:t>
      </w:r>
    </w:p>
    <w:p w14:paraId="1C917333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12FD3FF9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>4.12 Не допускается установка аппаратов защиты в цепях управления автоматическими установками пожаротушения, отключение которых может привести к отказу работы при пожаре.</w:t>
      </w:r>
    </w:p>
    <w:p w14:paraId="188C0222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4E3AA18D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>4.13 Запрещается установка в цепях питания электроприемников СПЗ устройств защитного отключения или выключателей, управляемых дифференциальным (остаточным) током, в том числе со встроенной защитой от сверхтоков.</w:t>
      </w:r>
    </w:p>
    <w:p w14:paraId="3A5477D6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55862FDF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>4.14 Не допускается совместная прокладка кабельных линий систем противопожарной защиты с другими кабелями и проводами в одном коробе, трубе, жгуте, замкнутом канале строительной конструкции или на одном лотке.</w:t>
      </w:r>
    </w:p>
    <w:p w14:paraId="17E763C4" w14:textId="77777777" w:rsidR="005D6714" w:rsidRPr="005D6714" w:rsidRDefault="005D6714" w:rsidP="005D671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147ED5D5" w14:textId="6EE21905" w:rsidR="009D2301" w:rsidRPr="005D6714" w:rsidRDefault="009D2301" w:rsidP="005D671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2301" w:rsidRPr="005D6714" w:rsidSect="005D6714">
      <w:headerReference w:type="first" r:id="rId6"/>
      <w:pgSz w:w="11906" w:h="16838"/>
      <w:pgMar w:top="284" w:right="282" w:bottom="1134" w:left="284" w:header="2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85BB2" w14:textId="77777777" w:rsidR="00A70ABF" w:rsidRDefault="00A70ABF" w:rsidP="005D6714">
      <w:pPr>
        <w:spacing w:after="0" w:line="240" w:lineRule="auto"/>
      </w:pPr>
      <w:r>
        <w:separator/>
      </w:r>
    </w:p>
  </w:endnote>
  <w:endnote w:type="continuationSeparator" w:id="0">
    <w:p w14:paraId="17BE4BDD" w14:textId="77777777" w:rsidR="00A70ABF" w:rsidRDefault="00A70ABF" w:rsidP="005D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75B3F" w14:textId="77777777" w:rsidR="00A70ABF" w:rsidRDefault="00A70ABF" w:rsidP="005D6714">
      <w:pPr>
        <w:spacing w:after="0" w:line="240" w:lineRule="auto"/>
      </w:pPr>
      <w:r>
        <w:separator/>
      </w:r>
    </w:p>
  </w:footnote>
  <w:footnote w:type="continuationSeparator" w:id="0">
    <w:p w14:paraId="3E76BDC3" w14:textId="77777777" w:rsidR="00A70ABF" w:rsidRDefault="00A70ABF" w:rsidP="005D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5665"/>
    </w:tblGrid>
    <w:tr w:rsidR="005D6714" w:rsidRPr="002536CC" w14:paraId="106476C8" w14:textId="77777777" w:rsidTr="00546E5D">
      <w:tc>
        <w:tcPr>
          <w:tcW w:w="5665" w:type="dxa"/>
        </w:tcPr>
        <w:p w14:paraId="0E2A66C1" w14:textId="77777777" w:rsidR="005D6714" w:rsidRDefault="005D6714" w:rsidP="005D6714">
          <w:pPr>
            <w:pStyle w:val="a3"/>
          </w:pPr>
          <w:r>
            <w:rPr>
              <w:noProof/>
            </w:rPr>
            <w:drawing>
              <wp:inline distT="0" distB="0" distL="0" distR="0" wp14:anchorId="792D9D29" wp14:editId="65F32B2C">
                <wp:extent cx="3427012" cy="751026"/>
                <wp:effectExtent l="0" t="0" r="2540" b="0"/>
                <wp:docPr id="25" name="Рисунок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5183" cy="759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</w:tcPr>
        <w:p w14:paraId="0BB4A666" w14:textId="77777777" w:rsidR="005D6714" w:rsidRDefault="005D6714" w:rsidP="005D6714">
          <w:pPr>
            <w:pStyle w:val="a3"/>
            <w:jc w:val="right"/>
            <w:rPr>
              <w:rFonts w:ascii="Century" w:hAnsi="Century"/>
              <w:b/>
              <w:bCs/>
              <w:sz w:val="28"/>
              <w:szCs w:val="28"/>
              <w14:glow w14:rad="0">
                <w14:srgbClr w14:val="000000">
                  <w14:alpha w14:val="40000"/>
                </w14:srgbClr>
              </w14:glow>
            </w:rPr>
          </w:pPr>
          <w:r w:rsidRPr="00D517D1">
            <w:rPr>
              <w:rFonts w:ascii="Century" w:hAnsi="Century"/>
              <w:b/>
              <w:bCs/>
              <w:sz w:val="28"/>
              <w:szCs w:val="28"/>
              <w14:glow w14:rad="0">
                <w14:srgbClr w14:val="000000">
                  <w14:alpha w14:val="40000"/>
                </w14:srgbClr>
              </w14:glow>
            </w:rPr>
            <w:t>Комплексные системы безопасности</w:t>
          </w:r>
        </w:p>
        <w:p w14:paraId="2C6057F2" w14:textId="77777777" w:rsidR="005D6714" w:rsidRDefault="005D6714" w:rsidP="005D6714">
          <w:pPr>
            <w:autoSpaceDE w:val="0"/>
            <w:autoSpaceDN w:val="0"/>
            <w:adjustRightInd w:val="0"/>
            <w:jc w:val="center"/>
            <w:rPr>
              <w:rFonts w:ascii="Bookman Old Style" w:hAnsi="Bookman Old Style" w:cs="Cambria"/>
              <w:bCs/>
              <w14:glow w14:rad="0">
                <w14:srgbClr w14:val="000000">
                  <w14:alpha w14:val="40000"/>
                </w14:srgbClr>
              </w14:glow>
            </w:rPr>
          </w:pPr>
          <w:r w:rsidRPr="00872AE1">
            <w:rPr>
              <w:rFonts w:ascii="Bookman Old Style" w:hAnsi="Bookman Old Style" w:cs="Cambria"/>
              <w:bCs/>
              <w14:glow w14:rad="0">
                <w14:srgbClr w14:val="000000">
                  <w14:alpha w14:val="40000"/>
                </w14:srgbClr>
              </w14:glow>
            </w:rPr>
            <w:t xml:space="preserve">+7 (423) 2 9000 43; </w:t>
          </w:r>
        </w:p>
        <w:p w14:paraId="071A9DEF" w14:textId="77777777" w:rsidR="005D6714" w:rsidRDefault="005D6714" w:rsidP="005D6714">
          <w:pPr>
            <w:autoSpaceDE w:val="0"/>
            <w:autoSpaceDN w:val="0"/>
            <w:adjustRightInd w:val="0"/>
            <w:jc w:val="center"/>
            <w:rPr>
              <w:rFonts w:ascii="Bookman Old Style" w:hAnsi="Bookman Old Style" w:cs="Cambria"/>
              <w:bCs/>
              <w14:glow w14:rad="0">
                <w14:srgbClr w14:val="000000">
                  <w14:alpha w14:val="40000"/>
                </w14:srgbClr>
              </w14:glow>
            </w:rPr>
          </w:pPr>
          <w:hyperlink r:id="rId2" w:history="1">
            <w:r w:rsidRPr="00DF6B90">
              <w:rPr>
                <w:rStyle w:val="a8"/>
                <w:rFonts w:ascii="Bookman Old Style" w:hAnsi="Bookman Old Style" w:cs="Cambria"/>
                <w:bCs/>
                <w14:glow w14:rad="0">
                  <w14:srgbClr w14:val="000000">
                    <w14:alpha w14:val="40000"/>
                  </w14:srgbClr>
                </w14:glow>
              </w:rPr>
              <w:t>info@centralpost.ru</w:t>
            </w:r>
          </w:hyperlink>
          <w:r w:rsidRPr="00136053">
            <w:rPr>
              <w:rFonts w:ascii="Bookman Old Style" w:hAnsi="Bookman Old Style" w:cs="Cambria"/>
              <w:bCs/>
              <w14:glow w14:rad="0">
                <w14:srgbClr w14:val="000000">
                  <w14:alpha w14:val="40000"/>
                </w14:srgbClr>
              </w14:glow>
            </w:rPr>
            <w:t xml:space="preserve"> </w:t>
          </w:r>
        </w:p>
        <w:p w14:paraId="23298416" w14:textId="77777777" w:rsidR="005D6714" w:rsidRDefault="005D6714" w:rsidP="005D6714">
          <w:pPr>
            <w:autoSpaceDE w:val="0"/>
            <w:autoSpaceDN w:val="0"/>
            <w:adjustRightInd w:val="0"/>
            <w:jc w:val="center"/>
            <w:rPr>
              <w:b/>
              <w:sz w:val="32"/>
              <w:szCs w:val="44"/>
            </w:rPr>
          </w:pPr>
          <w:hyperlink r:id="rId3" w:history="1">
            <w:r w:rsidRPr="00DF6B90">
              <w:rPr>
                <w:rStyle w:val="a8"/>
                <w:rFonts w:ascii="Bookman Old Style" w:hAnsi="Bookman Old Style" w:cs="Cambria"/>
                <w:bCs/>
                <w14:glow w14:rad="0">
                  <w14:srgbClr w14:val="000000">
                    <w14:alpha w14:val="40000"/>
                  </w14:srgbClr>
                </w14:glow>
              </w:rPr>
              <w:t>zakaz@centralpost.ru</w:t>
            </w:r>
          </w:hyperlink>
          <w:r w:rsidRPr="00A30A62">
            <w:rPr>
              <w:rFonts w:ascii="Harrington" w:hAnsi="Harrington"/>
              <w:b/>
              <w:sz w:val="32"/>
              <w:szCs w:val="44"/>
            </w:rPr>
            <w:t xml:space="preserve"> </w:t>
          </w:r>
        </w:p>
        <w:p w14:paraId="0ABD048E" w14:textId="77777777" w:rsidR="005D6714" w:rsidRPr="002536CC" w:rsidRDefault="005D6714" w:rsidP="005D6714">
          <w:pPr>
            <w:autoSpaceDE w:val="0"/>
            <w:autoSpaceDN w:val="0"/>
            <w:adjustRightInd w:val="0"/>
            <w:jc w:val="center"/>
            <w:rPr>
              <w:rFonts w:cs="Cambria"/>
              <w:b/>
              <w:bCs/>
              <w:sz w:val="32"/>
              <w:szCs w:val="44"/>
              <w14:glow w14:rad="0">
                <w14:srgbClr w14:val="000000">
                  <w14:alpha w14:val="40000"/>
                </w14:srgbClr>
              </w14:glow>
            </w:rPr>
          </w:pPr>
          <w:r w:rsidRPr="00A30A62">
            <w:rPr>
              <w:rFonts w:ascii="Harrington" w:hAnsi="Harrington"/>
              <w:b/>
              <w:sz w:val="32"/>
              <w:szCs w:val="44"/>
            </w:rPr>
            <w:t>www.centralpost.ru</w:t>
          </w:r>
        </w:p>
      </w:tc>
    </w:tr>
  </w:tbl>
  <w:p w14:paraId="3533F2D2" w14:textId="77777777" w:rsidR="005D6714" w:rsidRDefault="005D67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14"/>
    <w:rsid w:val="005D6714"/>
    <w:rsid w:val="009D2301"/>
    <w:rsid w:val="00A7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BF674"/>
  <w15:chartTrackingRefBased/>
  <w15:docId w15:val="{AE64914D-7154-4ECD-9F31-A84DCACD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714"/>
  </w:style>
  <w:style w:type="paragraph" w:styleId="a5">
    <w:name w:val="footer"/>
    <w:basedOn w:val="a"/>
    <w:link w:val="a6"/>
    <w:uiPriority w:val="99"/>
    <w:unhideWhenUsed/>
    <w:rsid w:val="005D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714"/>
  </w:style>
  <w:style w:type="table" w:styleId="a7">
    <w:name w:val="Table Grid"/>
    <w:basedOn w:val="a1"/>
    <w:uiPriority w:val="39"/>
    <w:rsid w:val="005D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D6714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5D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7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/zakaz@centralpost.ru" TargetMode="External"/><Relationship Id="rId2" Type="http://schemas.openxmlformats.org/officeDocument/2006/relationships/hyperlink" Target="mailto:info@centralpos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1240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2021-03-16T12:24:00Z</dcterms:created>
  <dcterms:modified xsi:type="dcterms:W3CDTF">2021-03-16T12:28:00Z</dcterms:modified>
</cp:coreProperties>
</file>